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154" w:rsidRDefault="00077154">
      <w:pPr>
        <w:widowControl w:val="0"/>
        <w:pBdr>
          <w:top w:val="nil"/>
          <w:left w:val="nil"/>
          <w:bottom w:val="nil"/>
          <w:right w:val="nil"/>
          <w:between w:val="nil"/>
        </w:pBdr>
        <w:spacing w:after="0"/>
      </w:pPr>
      <w:bookmarkStart w:id="0" w:name="_GoBack"/>
      <w:bookmarkEnd w:id="0"/>
    </w:p>
    <w:p w:rsidR="00077154" w:rsidRDefault="006C135F">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(Key Performance Indicators)</w:t>
      </w:r>
    </w:p>
    <w:p w:rsidR="00077154" w:rsidRDefault="006C135F">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077154" w:rsidRDefault="006C135F">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fa"/>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color w:val="000000"/>
                <w:sz w:val="24"/>
                <w:szCs w:val="24"/>
              </w:rPr>
            </w:pPr>
            <w:bookmarkStart w:id="1" w:name="_heading=h.2et92p0" w:colFirst="0" w:colLast="0"/>
            <w:bookmarkEnd w:id="1"/>
            <w:r>
              <w:rPr>
                <w:rFonts w:ascii="Arial" w:eastAsia="Arial" w:hAnsi="Arial" w:cs="Arial"/>
                <w:b/>
                <w:color w:val="000000"/>
                <w:sz w:val="24"/>
                <w:szCs w:val="24"/>
              </w:rPr>
              <w:t>"At Risk %"</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means the percentage figure identified as such in the Order Form;</w:t>
            </w:r>
          </w:p>
        </w:tc>
      </w:tr>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"At Risk Amount"</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means in respect of a Service Period, the amount calculated in accordance with Paragraph 3.1 of Part A of this Schedule; </w:t>
            </w:r>
          </w:p>
        </w:tc>
      </w:tr>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"Earn Back %"</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means the percentage figure identified as such in the Order Form and which shall be used to determine the proportion of a KPI Credit which may be the subject of any Earn Back;</w:t>
            </w:r>
          </w:p>
        </w:tc>
      </w:tr>
      <w:tr w:rsidR="00077154">
        <w:tc>
          <w:tcPr>
            <w:tcW w:w="2410" w:type="dxa"/>
            <w:shd w:val="clear" w:color="auto" w:fill="auto"/>
          </w:tcPr>
          <w:p w:rsidR="00077154" w:rsidRDefault="006C135F">
            <w:pPr>
              <w:spacing w:after="280"/>
              <w:rPr>
                <w:rFonts w:ascii="Arial" w:eastAsia="Arial" w:hAnsi="Arial" w:cs="Arial"/>
                <w:b/>
                <w:color w:val="000000"/>
                <w:sz w:val="24"/>
                <w:szCs w:val="24"/>
              </w:rPr>
            </w:pPr>
            <w:r>
              <w:rPr>
                <w:rFonts w:ascii="Arial" w:eastAsia="Arial" w:hAnsi="Arial" w:cs="Arial"/>
                <w:b/>
                <w:color w:val="000000"/>
                <w:sz w:val="24"/>
                <w:szCs w:val="24"/>
              </w:rPr>
              <w:t>“KPI Category”</w:t>
            </w:r>
          </w:p>
          <w:p w:rsidR="00077154" w:rsidRDefault="00077154">
            <w:pPr>
              <w:pBdr>
                <w:top w:val="nil"/>
                <w:left w:val="nil"/>
                <w:bottom w:val="nil"/>
                <w:right w:val="nil"/>
                <w:between w:val="nil"/>
              </w:pBdr>
              <w:spacing w:after="120"/>
              <w:ind w:left="-108"/>
              <w:rPr>
                <w:rFonts w:ascii="Arial" w:eastAsia="Arial" w:hAnsi="Arial" w:cs="Arial"/>
                <w:b/>
                <w:sz w:val="24"/>
                <w:szCs w:val="24"/>
              </w:rPr>
            </w:pP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sz w:val="24"/>
                <w:szCs w:val="24"/>
              </w:rPr>
              <w:t>means each of the categories in the columns headed "KPI Category" in the "KPI Measures" tab of the KPI PayMech Model</w:t>
            </w:r>
            <w:r>
              <w:rPr>
                <w:rFonts w:ascii="Arial" w:eastAsia="Arial" w:hAnsi="Arial" w:cs="Arial"/>
                <w:color w:val="000000"/>
                <w:sz w:val="24"/>
                <w:szCs w:val="24"/>
              </w:rPr>
              <w:t>;</w:t>
            </w:r>
          </w:p>
        </w:tc>
      </w:tr>
      <w:tr w:rsidR="00077154">
        <w:tc>
          <w:tcPr>
            <w:tcW w:w="2410" w:type="dxa"/>
            <w:shd w:val="clear" w:color="auto" w:fill="auto"/>
          </w:tcPr>
          <w:p w:rsidR="00077154" w:rsidRDefault="006C135F">
            <w:pPr>
              <w:pBdr>
                <w:top w:val="nil"/>
                <w:left w:val="nil"/>
                <w:bottom w:val="nil"/>
                <w:right w:val="nil"/>
                <w:between w:val="nil"/>
              </w:pBdr>
              <w:spacing w:after="120"/>
              <w:rPr>
                <w:rFonts w:ascii="Arial" w:eastAsia="Arial" w:hAnsi="Arial" w:cs="Arial"/>
                <w:b/>
              </w:rPr>
            </w:pPr>
            <w:r>
              <w:rPr>
                <w:rFonts w:ascii="Arial" w:eastAsia="Arial" w:hAnsi="Arial" w:cs="Arial"/>
                <w:b/>
                <w:sz w:val="24"/>
                <w:szCs w:val="24"/>
              </w:rPr>
              <w:t>“KPI Category At Risk Amount”</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means in relation to a KPI Category in respect of a Service Period, the amount calculated in accordance with Paragraph 3.2 of Part A of this Schedule;</w:t>
            </w:r>
          </w:p>
        </w:tc>
      </w:tr>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"KPI Paymech Model"</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means the model comprised in the Excel worksheet - KPI Paymech Model, and attached</w:t>
            </w:r>
            <w:r>
              <w:rPr>
                <w:rFonts w:ascii="Arial" w:eastAsia="Arial" w:hAnsi="Arial" w:cs="Arial"/>
                <w:color w:val="000000"/>
                <w:sz w:val="24"/>
                <w:szCs w:val="24"/>
              </w:rPr>
              <w:t xml:space="preserve"> in the Annex </w:t>
            </w:r>
            <w:r>
              <w:rPr>
                <w:rFonts w:ascii="Arial" w:eastAsia="Arial" w:hAnsi="Arial" w:cs="Arial"/>
                <w:sz w:val="24"/>
                <w:szCs w:val="24"/>
              </w:rPr>
              <w:t xml:space="preserve">A </w:t>
            </w:r>
            <w:r>
              <w:rPr>
                <w:rFonts w:ascii="Arial" w:eastAsia="Arial" w:hAnsi="Arial" w:cs="Arial"/>
                <w:color w:val="000000"/>
                <w:sz w:val="24"/>
                <w:szCs w:val="24"/>
              </w:rPr>
              <w:t>to Part</w:t>
            </w:r>
            <w:r>
              <w:rPr>
                <w:rFonts w:ascii="Arial" w:eastAsia="Arial" w:hAnsi="Arial" w:cs="Arial"/>
                <w:sz w:val="24"/>
                <w:szCs w:val="24"/>
              </w:rPr>
              <w:t> </w:t>
            </w:r>
            <w:r>
              <w:rPr>
                <w:rFonts w:ascii="Arial" w:eastAsia="Arial" w:hAnsi="Arial" w:cs="Arial"/>
                <w:color w:val="000000"/>
                <w:sz w:val="24"/>
                <w:szCs w:val="24"/>
              </w:rPr>
              <w:t xml:space="preserve">A of this Schedule to </w:t>
            </w:r>
            <w:r>
              <w:rPr>
                <w:rFonts w:ascii="Arial" w:eastAsia="Arial" w:hAnsi="Arial" w:cs="Arial"/>
                <w:sz w:val="24"/>
                <w:szCs w:val="24"/>
              </w:rPr>
              <w:t>be used for calculating any adjustments</w:t>
            </w:r>
            <w:r>
              <w:rPr>
                <w:rFonts w:ascii="Arial" w:eastAsia="Arial" w:hAnsi="Arial" w:cs="Arial"/>
                <w:color w:val="000000"/>
                <w:sz w:val="24"/>
                <w:szCs w:val="24"/>
              </w:rPr>
              <w:t xml:space="preserve"> to </w:t>
            </w:r>
            <w:r>
              <w:rPr>
                <w:rFonts w:ascii="Arial" w:eastAsia="Arial" w:hAnsi="Arial" w:cs="Arial"/>
                <w:sz w:val="24"/>
                <w:szCs w:val="24"/>
              </w:rPr>
              <w:t>the Charges as a result of the operation of the KPI regime in this Schedule</w:t>
            </w:r>
            <w:r>
              <w:rPr>
                <w:rFonts w:ascii="Arial" w:eastAsia="Arial" w:hAnsi="Arial" w:cs="Arial"/>
                <w:color w:val="000000"/>
                <w:sz w:val="24"/>
                <w:szCs w:val="24"/>
              </w:rPr>
              <w:t>;</w:t>
            </w:r>
          </w:p>
        </w:tc>
      </w:tr>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"KPI At Risk Amount"</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w:t>
            </w:r>
            <w:r>
              <w:rPr>
                <w:rFonts w:ascii="Arial" w:eastAsia="Arial" w:hAnsi="Arial" w:cs="Arial"/>
                <w:sz w:val="24"/>
                <w:szCs w:val="24"/>
              </w:rPr>
              <w:t>in relation</w:t>
            </w:r>
            <w:r>
              <w:rPr>
                <w:rFonts w:ascii="Arial" w:eastAsia="Arial" w:hAnsi="Arial" w:cs="Arial"/>
                <w:color w:val="000000"/>
                <w:sz w:val="24"/>
                <w:szCs w:val="24"/>
              </w:rPr>
              <w:t xml:space="preserve"> to </w:t>
            </w:r>
            <w:r>
              <w:rPr>
                <w:rFonts w:ascii="Arial" w:eastAsia="Arial" w:hAnsi="Arial" w:cs="Arial"/>
                <w:sz w:val="24"/>
                <w:szCs w:val="24"/>
              </w:rPr>
              <w:t>a KPI</w:t>
            </w:r>
            <w:r>
              <w:rPr>
                <w:rFonts w:ascii="Arial" w:eastAsia="Arial" w:hAnsi="Arial" w:cs="Arial"/>
                <w:color w:val="000000"/>
                <w:sz w:val="24"/>
                <w:szCs w:val="24"/>
              </w:rPr>
              <w:t xml:space="preserve"> in respect of a Service </w:t>
            </w:r>
            <w:r>
              <w:rPr>
                <w:rFonts w:ascii="Arial" w:eastAsia="Arial" w:hAnsi="Arial" w:cs="Arial"/>
                <w:sz w:val="24"/>
                <w:szCs w:val="24"/>
              </w:rPr>
              <w:t xml:space="preserve">Period, the amount calculated in accordance with Paragraph 3.3 of Part A of this Schedule; </w:t>
            </w:r>
          </w:p>
        </w:tc>
      </w:tr>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"KPI Failure"</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a failure to meet the KPI Performance Measure in respect of a KPI;</w:t>
            </w:r>
          </w:p>
        </w:tc>
      </w:tr>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"KPI Performance Measure"</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 xml:space="preserve">means each of the Performance Measures in the columns headed Measure Requirement and Measure Achievement Calculation in the KPI Measures tab of the KPI Paymech Model </w:t>
            </w:r>
          </w:p>
        </w:tc>
      </w:tr>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"Performance Monitoring Reports"</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Review Meetings"</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"Persistent KPI Failure"</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the Supplier's actual performance against the KPIs falls to or below the standard to which Paragraph 6 of Part A of this Schedule refers; and</w:t>
            </w:r>
          </w:p>
        </w:tc>
      </w:tr>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"KPI Credits"</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any KPI Credits specified in the Annex to Part A of this Schedule being payable by the Supplier to the Buyer in respect of any failure by the Supplier to meet one or more KPIs;</w:t>
            </w:r>
          </w:p>
        </w:tc>
      </w:tr>
      <w:tr w:rsidR="00077154">
        <w:tc>
          <w:tcPr>
            <w:tcW w:w="2410" w:type="dxa"/>
            <w:shd w:val="clear" w:color="auto" w:fill="auto"/>
          </w:tcPr>
          <w:p w:rsidR="00077154" w:rsidRDefault="006C13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"Ratchet"</w:t>
            </w:r>
          </w:p>
        </w:tc>
        <w:tc>
          <w:tcPr>
            <w:tcW w:w="5953" w:type="dxa"/>
            <w:shd w:val="clear" w:color="auto" w:fill="auto"/>
          </w:tcPr>
          <w:p w:rsidR="00077154" w:rsidRDefault="006C135F">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shall have the meaning in Part A of this Schedule.</w:t>
            </w:r>
          </w:p>
        </w:tc>
      </w:tr>
    </w:tbl>
    <w:p w:rsidR="00077154" w:rsidRDefault="00077154">
      <w:pPr>
        <w:pBdr>
          <w:top w:val="nil"/>
          <w:left w:val="nil"/>
          <w:bottom w:val="nil"/>
          <w:right w:val="nil"/>
          <w:between w:val="nil"/>
        </w:pBdr>
        <w:tabs>
          <w:tab w:val="left" w:pos="142"/>
        </w:tabs>
        <w:spacing w:before="240" w:after="120" w:line="240" w:lineRule="auto"/>
        <w:ind w:left="720"/>
        <w:rPr>
          <w:rFonts w:ascii="Arial" w:eastAsia="Arial" w:hAnsi="Arial" w:cs="Arial"/>
          <w:b/>
          <w:sz w:val="24"/>
          <w:szCs w:val="24"/>
        </w:rPr>
      </w:pPr>
    </w:p>
    <w:p w:rsidR="00077154" w:rsidRDefault="006C135F">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What happens if you don’t meet the KPIs</w:t>
      </w:r>
    </w:p>
    <w:p w:rsidR="00077154" w:rsidRDefault="006C135F">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at all times provide the Deliverables to meet or exceed the KPI Performance Measure for each KPI.</w:t>
      </w:r>
    </w:p>
    <w:p w:rsidR="00077154" w:rsidRDefault="006C135F">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acknowledges that any KPI Failure shall entitle the Buyer to the rights set out in Part A of this Schedule including the right to any KPI Credits and that any KPI Credit is a price adjustment and not an estimate of the Loss that may be suffered by the Buyer as a result of the Supplier’s failure to meet any KPI Performance Measure.</w:t>
      </w:r>
    </w:p>
    <w:p w:rsidR="00077154" w:rsidRDefault="006C135F">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077154" w:rsidRDefault="006C135F">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KPI Credit shall be the Buyer’s exclusive financial remedy for a KPI Failure except where:</w:t>
      </w:r>
    </w:p>
    <w:p w:rsidR="00077154" w:rsidRDefault="006C135F">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t3h5sf" w:colFirst="0" w:colLast="0"/>
      <w:bookmarkEnd w:id="2"/>
      <w:r>
        <w:rPr>
          <w:rFonts w:ascii="Arial" w:eastAsia="Arial" w:hAnsi="Arial" w:cs="Arial"/>
          <w:color w:val="000000"/>
          <w:sz w:val="24"/>
          <w:szCs w:val="24"/>
        </w:rPr>
        <w:t>the KPI Failure:</w:t>
      </w:r>
    </w:p>
    <w:p w:rsidR="00077154" w:rsidRDefault="006C135F">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077154" w:rsidRDefault="006C135F">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077154" w:rsidRDefault="006C135F">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077154" w:rsidRDefault="006C135F">
      <w:pPr>
        <w:numPr>
          <w:ilvl w:val="2"/>
          <w:numId w:val="2"/>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sz w:val="24"/>
          <w:szCs w:val="24"/>
        </w:rPr>
        <w:lastRenderedPageBreak/>
        <w:t>a Persistent KPI Failure occurs and/or the Buyer is otherwise entitled to or does terminate this Contract pursuant to Clause 10.4 of the Core Terms (When CCS or the buyer can end a contract).</w:t>
      </w:r>
    </w:p>
    <w:p w:rsidR="00077154" w:rsidRDefault="006C135F">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Buyer is entitled to or does terminate this Contract pursuant to Clause 1</w:t>
      </w:r>
      <w:r>
        <w:rPr>
          <w:rFonts w:ascii="Arial" w:eastAsia="Arial" w:hAnsi="Arial" w:cs="Arial"/>
          <w:sz w:val="24"/>
          <w:szCs w:val="24"/>
        </w:rPr>
        <w:t>0</w:t>
      </w:r>
      <w:r>
        <w:rPr>
          <w:rFonts w:ascii="Arial" w:eastAsia="Arial" w:hAnsi="Arial" w:cs="Arial"/>
          <w:color w:val="000000"/>
          <w:sz w:val="24"/>
          <w:szCs w:val="24"/>
        </w:rPr>
        <w:t>.4 of the Core Terms (When CCS or the buyer can end a contract).</w:t>
      </w:r>
    </w:p>
    <w:p w:rsidR="00077154" w:rsidRDefault="006C135F">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KPI Performance Measure in respect of one or more KPIs and the Supplier shall not be entitled to object to, or increase the Charges as a result of such changes, provided that:</w:t>
      </w:r>
    </w:p>
    <w:p w:rsidR="00077154" w:rsidRDefault="006C135F">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KPIs for which the weighting is to be changed does not exceed the number applicable as at the Start Date; </w:t>
      </w:r>
    </w:p>
    <w:p w:rsidR="00077154" w:rsidRDefault="006C135F">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077154" w:rsidRDefault="006C135F">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At Risk Amount</w:t>
      </w:r>
    </w:p>
    <w:p w:rsidR="00077154" w:rsidRDefault="006C135F">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sz w:val="24"/>
          <w:szCs w:val="24"/>
        </w:rPr>
        <w:t>Persistent</w:t>
      </w:r>
      <w:r>
        <w:rPr>
          <w:rFonts w:ascii="Arial" w:eastAsia="Arial" w:hAnsi="Arial" w:cs="Arial"/>
          <w:b/>
          <w:color w:val="000000"/>
          <w:sz w:val="24"/>
          <w:szCs w:val="24"/>
        </w:rPr>
        <w:t xml:space="preserve"> KPI Failure</w:t>
      </w:r>
    </w:p>
    <w:p w:rsidR="00077154" w:rsidRDefault="006C135F">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On the occurrence of a </w:t>
      </w:r>
      <w:r>
        <w:rPr>
          <w:rFonts w:ascii="Arial" w:eastAsia="Arial" w:hAnsi="Arial" w:cs="Arial"/>
          <w:sz w:val="24"/>
          <w:szCs w:val="24"/>
        </w:rPr>
        <w:t>Persistent</w:t>
      </w:r>
      <w:r>
        <w:rPr>
          <w:rFonts w:ascii="Arial" w:eastAsia="Arial" w:hAnsi="Arial" w:cs="Arial"/>
          <w:color w:val="000000"/>
          <w:sz w:val="24"/>
          <w:szCs w:val="24"/>
        </w:rPr>
        <w:t xml:space="preserve"> KPI Failure:</w:t>
      </w:r>
    </w:p>
    <w:p w:rsidR="00077154" w:rsidRDefault="006C135F">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KPI Credits that would otherwise have accrued during the relevant Service Period shall not accrue; and</w:t>
      </w:r>
    </w:p>
    <w:p w:rsidR="00077154" w:rsidRDefault="006C135F">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be entitled to withhold and retain as compensation a sum equal to any Charges</w:t>
      </w:r>
      <w:r w:rsidR="00191342">
        <w:rPr>
          <w:rFonts w:ascii="Arial" w:eastAsia="Arial" w:hAnsi="Arial" w:cs="Arial"/>
          <w:color w:val="000000"/>
          <w:sz w:val="24"/>
          <w:szCs w:val="24"/>
        </w:rPr>
        <w:t xml:space="preserve"> relating to the Persistent KPI Failure</w:t>
      </w:r>
      <w:r>
        <w:rPr>
          <w:rFonts w:ascii="Arial" w:eastAsia="Arial" w:hAnsi="Arial" w:cs="Arial"/>
          <w:color w:val="000000"/>
          <w:sz w:val="24"/>
          <w:szCs w:val="24"/>
        </w:rPr>
        <w:t xml:space="preserve"> which would otherwise have been due to the Supplier in respect of that Service Period ("</w:t>
      </w:r>
      <w:r>
        <w:rPr>
          <w:rFonts w:ascii="Arial" w:eastAsia="Arial" w:hAnsi="Arial" w:cs="Arial"/>
          <w:b/>
          <w:color w:val="000000"/>
          <w:sz w:val="24"/>
          <w:szCs w:val="24"/>
        </w:rPr>
        <w:t>Compensation for Persistent KPI Failure</w:t>
      </w:r>
      <w:r>
        <w:rPr>
          <w:rFonts w:ascii="Arial" w:eastAsia="Arial" w:hAnsi="Arial" w:cs="Arial"/>
          <w:color w:val="000000"/>
          <w:sz w:val="24"/>
          <w:szCs w:val="24"/>
        </w:rPr>
        <w:t>"),</w:t>
      </w:r>
    </w:p>
    <w:p w:rsidR="00077154" w:rsidRDefault="006C135F">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077154" w:rsidRDefault="00077154">
      <w:pPr>
        <w:keepNext/>
        <w:pBdr>
          <w:top w:val="nil"/>
          <w:left w:val="nil"/>
          <w:bottom w:val="nil"/>
          <w:right w:val="nil"/>
          <w:between w:val="nil"/>
        </w:pBdr>
        <w:spacing w:after="240" w:line="240" w:lineRule="auto"/>
        <w:rPr>
          <w:rFonts w:ascii="Arial" w:eastAsia="Arial" w:hAnsi="Arial" w:cs="Arial"/>
          <w:b/>
          <w:color w:val="000000"/>
          <w:sz w:val="36"/>
          <w:szCs w:val="36"/>
        </w:rPr>
      </w:pPr>
      <w:bookmarkStart w:id="4" w:name="_heading=h.1fob9te" w:colFirst="0" w:colLast="0"/>
      <w:bookmarkEnd w:id="4"/>
    </w:p>
    <w:p w:rsidR="00077154" w:rsidRDefault="006C135F">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 xml:space="preserve">Part A: KPIs and KPI Credits </w:t>
      </w:r>
    </w:p>
    <w:p w:rsidR="00077154" w:rsidRDefault="006C135F">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KPIs</w:t>
      </w:r>
    </w:p>
    <w:p w:rsidR="00077154" w:rsidRDefault="006C135F">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077154" w:rsidRDefault="006C135F">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KPI Performance Measure; or</w:t>
      </w:r>
    </w:p>
    <w:p w:rsidR="00077154" w:rsidRDefault="006C135F">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Persistent Service Failure to occur, </w:t>
      </w:r>
    </w:p>
    <w:p w:rsidR="00077154" w:rsidRDefault="006C135F">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077154" w:rsidRDefault="006C135F">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require the Supplier to immediately take all preventative and/or remedial action that is reasonable to mitigate the impact on the Buyer and to rectify or prevent a KPI Failure or Persistent KPI Failure from taking place or recurring; </w:t>
      </w:r>
    </w:p>
    <w:p w:rsidR="00077154" w:rsidRDefault="006C135F">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077154" w:rsidRDefault="006C135F">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KPI Failure has occurred, deduct the applicable KPI Credits payable by the Supplier to the Buyer; and/or</w:t>
      </w:r>
    </w:p>
    <w:p w:rsidR="00077154" w:rsidRDefault="006C135F">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Persistent KPI Failure has occurred, exercise its right to Compensation for Persistent KPI Failure (including the right to terminate for material Default).</w:t>
      </w:r>
    </w:p>
    <w:p w:rsidR="00077154" w:rsidRDefault="006C135F">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 Credits</w:t>
      </w:r>
    </w:p>
    <w:p w:rsidR="00077154" w:rsidRDefault="006C135F">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KPI Credits, if any, applicable to each Service Period.</w:t>
      </w:r>
    </w:p>
    <w:p w:rsidR="00077154" w:rsidRDefault="006C135F">
      <w:pPr>
        <w:numPr>
          <w:ilvl w:val="1"/>
          <w:numId w:val="4"/>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color w:val="000000"/>
          <w:sz w:val="24"/>
          <w:szCs w:val="24"/>
        </w:rPr>
        <w:t xml:space="preserve">KPI Credits are a reduction of the amounts payable in respect of the Deliverables and do not include VAT. The Supplier shall </w:t>
      </w:r>
      <w:r>
        <w:rPr>
          <w:rFonts w:ascii="Arial" w:eastAsia="Arial" w:hAnsi="Arial" w:cs="Arial"/>
          <w:sz w:val="24"/>
          <w:szCs w:val="24"/>
        </w:rPr>
        <w:t>off set</w:t>
      </w:r>
      <w:r>
        <w:rPr>
          <w:rFonts w:ascii="Arial" w:eastAsia="Arial" w:hAnsi="Arial" w:cs="Arial"/>
          <w:color w:val="000000"/>
          <w:sz w:val="24"/>
          <w:szCs w:val="24"/>
        </w:rPr>
        <w:t xml:space="preserve"> the value of any KPI Credits against the appropriate invoice in accordance with </w:t>
      </w:r>
      <w:r>
        <w:rPr>
          <w:rFonts w:ascii="Arial" w:eastAsia="Arial" w:hAnsi="Arial" w:cs="Arial"/>
          <w:sz w:val="24"/>
          <w:szCs w:val="24"/>
        </w:rPr>
        <w:t xml:space="preserve">the relevant </w:t>
      </w:r>
      <w:r>
        <w:rPr>
          <w:rFonts w:ascii="Arial" w:eastAsia="Arial" w:hAnsi="Arial" w:cs="Arial"/>
          <w:color w:val="000000"/>
          <w:sz w:val="24"/>
          <w:szCs w:val="24"/>
        </w:rPr>
        <w:t>calculation formula below</w:t>
      </w:r>
      <w:r>
        <w:rPr>
          <w:rFonts w:ascii="Arial" w:eastAsia="Arial" w:hAnsi="Arial" w:cs="Arial"/>
          <w:sz w:val="24"/>
          <w:szCs w:val="24"/>
        </w:rPr>
        <w:t xml:space="preserve">. </w:t>
      </w:r>
    </w:p>
    <w:p w:rsidR="00077154" w:rsidRDefault="006C135F">
      <w:pPr>
        <w:numPr>
          <w:ilvl w:val="0"/>
          <w:numId w:val="4"/>
        </w:numPr>
        <w:pBdr>
          <w:top w:val="nil"/>
          <w:left w:val="nil"/>
          <w:bottom w:val="nil"/>
          <w:right w:val="nil"/>
          <w:between w:val="nil"/>
        </w:pBdr>
        <w:spacing w:after="240" w:line="240" w:lineRule="auto"/>
        <w:jc w:val="both"/>
        <w:rPr>
          <w:rFonts w:ascii="Arial" w:eastAsia="Arial" w:hAnsi="Arial" w:cs="Arial"/>
          <w:color w:val="000000"/>
        </w:rPr>
      </w:pPr>
      <w:bookmarkStart w:id="5" w:name="_heading=h.17dp8vu" w:colFirst="0" w:colLast="0"/>
      <w:bookmarkEnd w:id="5"/>
      <w:r>
        <w:rPr>
          <w:rFonts w:ascii="Arial" w:eastAsia="Arial" w:hAnsi="Arial" w:cs="Arial"/>
          <w:b/>
          <w:color w:val="000000"/>
          <w:sz w:val="24"/>
          <w:szCs w:val="24"/>
        </w:rPr>
        <w:t>KPI</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Calculation</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6" w:name="_heading=h.3rdcrjn" w:colFirst="0" w:colLast="0"/>
      <w:bookmarkEnd w:id="6"/>
      <w:r>
        <w:rPr>
          <w:rFonts w:ascii="Arial" w:eastAsia="Arial" w:hAnsi="Arial" w:cs="Arial"/>
          <w:color w:val="000000"/>
          <w:sz w:val="24"/>
          <w:szCs w:val="24"/>
        </w:rPr>
        <w:t>At Risk Amount</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7" w:name="_heading=h.26in1rg" w:colFirst="0" w:colLast="0"/>
      <w:bookmarkEnd w:id="7"/>
      <w:r>
        <w:rPr>
          <w:rFonts w:ascii="Arial" w:eastAsia="Arial" w:hAnsi="Arial" w:cs="Arial"/>
          <w:color w:val="000000"/>
          <w:sz w:val="24"/>
          <w:szCs w:val="24"/>
        </w:rPr>
        <w:t xml:space="preserve">For a Service Period, the At Risk Amount shall be calculated in accordance with Section 2 - Calculation of Monthly Value at Risk, of the Paymech Calc Overview tab of the </w:t>
      </w:r>
      <w:r>
        <w:rPr>
          <w:rFonts w:ascii="Arial" w:eastAsia="Arial" w:hAnsi="Arial" w:cs="Arial"/>
          <w:color w:val="222222"/>
          <w:sz w:val="24"/>
          <w:szCs w:val="24"/>
          <w:highlight w:val="white"/>
        </w:rPr>
        <w:t>KPI Paymech Model</w:t>
      </w:r>
      <w:r>
        <w:rPr>
          <w:rFonts w:ascii="Arial" w:eastAsia="Arial" w:hAnsi="Arial" w:cs="Arial"/>
          <w:color w:val="000000"/>
          <w:sz w:val="24"/>
          <w:szCs w:val="24"/>
        </w:rPr>
        <w:t>.</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8" w:name="_heading=h.lnxbz9" w:colFirst="0" w:colLast="0"/>
      <w:bookmarkEnd w:id="8"/>
      <w:r>
        <w:rPr>
          <w:rFonts w:ascii="Arial" w:eastAsia="Arial" w:hAnsi="Arial" w:cs="Arial"/>
          <w:color w:val="000000"/>
          <w:sz w:val="24"/>
          <w:szCs w:val="24"/>
        </w:rPr>
        <w:t xml:space="preserve">KPI Category At Risk Amount </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KPI Category At Risk Amount shall be calculated as follows: for each KPI Category, the At Risk Amount shall be apportioned to it in accordance with the KPI Category Weightings in the column headed KPI Weighting in the KPI Table 2 of the KPI Measures tab of the KPI Paymech Model.</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9" w:name="_heading=h.35nkun2" w:colFirst="0" w:colLast="0"/>
      <w:bookmarkEnd w:id="9"/>
      <w:r>
        <w:rPr>
          <w:rFonts w:ascii="Arial" w:eastAsia="Arial" w:hAnsi="Arial" w:cs="Arial"/>
          <w:color w:val="000000"/>
          <w:sz w:val="24"/>
          <w:szCs w:val="24"/>
        </w:rPr>
        <w:t xml:space="preserve">KPI At Risk Amount </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At Risk Amount shall be calculated as follows: the KPI Category At Risk Amount that applies to the KPI Category in which the relevant KPI resides, shall be further apportioned in accordance with the KPI Measure Weightings in the column headed </w:t>
      </w:r>
      <w:r>
        <w:rPr>
          <w:rFonts w:ascii="Arial" w:eastAsia="Arial" w:hAnsi="Arial" w:cs="Arial"/>
          <w:color w:val="222222"/>
          <w:sz w:val="24"/>
          <w:szCs w:val="24"/>
          <w:highlight w:val="white"/>
        </w:rPr>
        <w:t>Measure Weighting in Table 3. Measures of the KPI Measures tab of the KPI Paymech Model.</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KPI Credit </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KPI Credit to be applied to a KPI in a Service Period for a KPI Failure shall be calculated in accordance with the KPI Measures tab of the KPI Paymech Model by:</w:t>
      </w:r>
    </w:p>
    <w:p w:rsidR="00077154" w:rsidRDefault="006C135F">
      <w:pPr>
        <w:numPr>
          <w:ilvl w:val="3"/>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deducting from 100% the actual standard of performance (as a percentage, calculated using the Scoring Scales tab of the KPI Paymech Model) achieved by the Supplier against the KPI Performance Measure in that Service Period; and </w:t>
      </w:r>
    </w:p>
    <w:p w:rsidR="00077154" w:rsidRDefault="006C135F">
      <w:pPr>
        <w:numPr>
          <w:ilvl w:val="3"/>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multiplying the resultant percentage by the KPI At Risk Amount.</w:t>
      </w:r>
    </w:p>
    <w:p w:rsidR="00077154" w:rsidRDefault="006C135F">
      <w:pPr>
        <w:numPr>
          <w:ilvl w:val="0"/>
          <w:numId w:val="4"/>
        </w:numPr>
        <w:pBdr>
          <w:top w:val="nil"/>
          <w:left w:val="nil"/>
          <w:bottom w:val="nil"/>
          <w:right w:val="nil"/>
          <w:between w:val="nil"/>
        </w:pBdr>
        <w:spacing w:after="240" w:line="240" w:lineRule="auto"/>
        <w:jc w:val="both"/>
        <w:rPr>
          <w:rFonts w:ascii="Arial" w:eastAsia="Arial" w:hAnsi="Arial" w:cs="Arial"/>
          <w:color w:val="000000"/>
        </w:rPr>
      </w:pPr>
      <w:bookmarkStart w:id="10" w:name="_heading=h.1ksv4uv" w:colFirst="0" w:colLast="0"/>
      <w:bookmarkEnd w:id="10"/>
      <w:r>
        <w:rPr>
          <w:rFonts w:ascii="Arial" w:eastAsia="Arial" w:hAnsi="Arial" w:cs="Arial"/>
          <w:b/>
          <w:color w:val="000000"/>
        </w:rPr>
        <w:t>KPI Credit Ratchet</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1" w:name="_heading=h.44sinio" w:colFirst="0" w:colLast="0"/>
      <w:bookmarkEnd w:id="11"/>
      <w:r>
        <w:rPr>
          <w:rFonts w:ascii="Arial" w:eastAsia="Arial" w:hAnsi="Arial" w:cs="Arial"/>
          <w:color w:val="000000"/>
          <w:sz w:val="24"/>
          <w:szCs w:val="24"/>
        </w:rPr>
        <w:t>A ratchet will apply to the calculation of KPI Credits for frequent and repeated KPI Failures (</w:t>
      </w:r>
      <w:r>
        <w:rPr>
          <w:rFonts w:ascii="Arial" w:eastAsia="Arial" w:hAnsi="Arial" w:cs="Arial"/>
          <w:b/>
          <w:color w:val="000000"/>
          <w:sz w:val="24"/>
          <w:szCs w:val="24"/>
        </w:rPr>
        <w:t>"Ratchet"</w:t>
      </w:r>
      <w:r>
        <w:rPr>
          <w:rFonts w:ascii="Arial" w:eastAsia="Arial" w:hAnsi="Arial" w:cs="Arial"/>
          <w:color w:val="000000"/>
          <w:sz w:val="24"/>
          <w:szCs w:val="24"/>
        </w:rPr>
        <w:t>).</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Ratchet will be applied to the calculation of KPI Credits if one or both of the following circumstances occur:</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consecutive Service Periods; and</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any four (4) or more of the immediately preceding twelve (12) Service Periods.</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value of the Ratchet and when it is to be applied pursuant to Paragraph 4.2, </w:t>
      </w:r>
      <w:r>
        <w:rPr>
          <w:rFonts w:ascii="Arial" w:eastAsia="Arial" w:hAnsi="Arial" w:cs="Arial"/>
          <w:color w:val="222222"/>
          <w:sz w:val="24"/>
          <w:szCs w:val="24"/>
          <w:highlight w:val="white"/>
        </w:rPr>
        <w:t>is set out in the Perf Ded_Adj and Earnback Calc tab of the KPI Paymech Model</w:t>
      </w:r>
      <w:r>
        <w:rPr>
          <w:rFonts w:ascii="Arial" w:eastAsia="Arial" w:hAnsi="Arial" w:cs="Arial"/>
          <w:color w:val="000000"/>
          <w:sz w:val="24"/>
          <w:szCs w:val="24"/>
        </w:rPr>
        <w:t>.</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When the Ratchet is to be applied, the relevant KPI Credit shall be the number of KPI Credits that would normally accrue for an initial KPI Failure multiplied by the value of the Ratchet, for example:</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two (2) consecutive Service Periods, the KPI Credits for each of the KPI Failures in the second of such Service Periods will be 1.5 times the KPI Credit that would have been applicable to them for an initial KPI Failure (refer to table 1 in 4.4.3); and</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any four (4) Service Periods in the immediately preceding twelve (12) Service Periods, the KPI Credits for each of the KPI Failures in that fourth Service Period will be 1.75 times the KPI Credit that would have been applicable to them for an initial KPI Failure (refer to table 1 in 4.4.3).</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rPr>
        <w:t>Illustration of Ratchets to be applied in table form;</w:t>
      </w:r>
    </w:p>
    <w:tbl>
      <w:tblPr>
        <w:tblStyle w:val="affb"/>
        <w:tblW w:w="7653" w:type="dxa"/>
        <w:tblInd w:w="1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0"/>
        <w:gridCol w:w="1843"/>
        <w:gridCol w:w="1842"/>
        <w:gridCol w:w="2268"/>
      </w:tblGrid>
      <w:tr w:rsidR="00077154">
        <w:trPr>
          <w:trHeight w:val="840"/>
        </w:trPr>
        <w:tc>
          <w:tcPr>
            <w:tcW w:w="1700" w:type="dxa"/>
            <w:tcBorders>
              <w:top w:val="single" w:sz="8" w:space="0" w:color="000000"/>
              <w:left w:val="single" w:sz="8" w:space="0" w:color="000000"/>
              <w:bottom w:val="single" w:sz="4" w:space="0" w:color="000000"/>
              <w:right w:val="single" w:sz="4" w:space="0" w:color="000000"/>
            </w:tcBorders>
            <w:shd w:val="clear" w:color="auto" w:fill="auto"/>
            <w:vAlign w:val="center"/>
          </w:tcPr>
          <w:p w:rsidR="00077154" w:rsidRDefault="006C135F">
            <w:pPr>
              <w:rPr>
                <w:rFonts w:ascii="Arial" w:eastAsia="Arial" w:hAnsi="Arial" w:cs="Arial"/>
                <w:b/>
                <w:color w:val="000000"/>
              </w:rPr>
            </w:pPr>
            <w:r>
              <w:rPr>
                <w:rFonts w:ascii="Arial" w:eastAsia="Arial" w:hAnsi="Arial" w:cs="Arial"/>
                <w:b/>
                <w:color w:val="000000"/>
              </w:rPr>
              <w:t>Table 1: RATCHET OPTIONS</w:t>
            </w:r>
          </w:p>
        </w:tc>
        <w:tc>
          <w:tcPr>
            <w:tcW w:w="1843" w:type="dxa"/>
            <w:tcBorders>
              <w:top w:val="single" w:sz="8" w:space="0" w:color="000000"/>
              <w:left w:val="nil"/>
              <w:bottom w:val="single" w:sz="4" w:space="0" w:color="000000"/>
              <w:right w:val="single" w:sz="4" w:space="0" w:color="000000"/>
            </w:tcBorders>
            <w:shd w:val="clear" w:color="auto" w:fill="auto"/>
            <w:vAlign w:val="center"/>
          </w:tcPr>
          <w:p w:rsidR="00077154" w:rsidRDefault="006C135F">
            <w:pPr>
              <w:jc w:val="center"/>
              <w:rPr>
                <w:rFonts w:ascii="Arial" w:eastAsia="Arial" w:hAnsi="Arial" w:cs="Arial"/>
                <w:b/>
                <w:color w:val="000000"/>
              </w:rPr>
            </w:pPr>
            <w:r>
              <w:rPr>
                <w:rFonts w:ascii="Arial" w:eastAsia="Arial" w:hAnsi="Arial" w:cs="Arial"/>
                <w:b/>
                <w:color w:val="000000"/>
              </w:rPr>
              <w:t>Ratchet Value</w:t>
            </w:r>
          </w:p>
        </w:tc>
        <w:tc>
          <w:tcPr>
            <w:tcW w:w="1842" w:type="dxa"/>
            <w:tcBorders>
              <w:top w:val="single" w:sz="8" w:space="0" w:color="000000"/>
              <w:left w:val="nil"/>
              <w:bottom w:val="single" w:sz="4" w:space="0" w:color="000000"/>
              <w:right w:val="single" w:sz="4" w:space="0" w:color="000000"/>
            </w:tcBorders>
            <w:shd w:val="clear" w:color="auto" w:fill="auto"/>
            <w:vAlign w:val="center"/>
          </w:tcPr>
          <w:p w:rsidR="00077154" w:rsidRDefault="006C135F">
            <w:pPr>
              <w:jc w:val="center"/>
              <w:rPr>
                <w:rFonts w:ascii="Arial" w:eastAsia="Arial" w:hAnsi="Arial" w:cs="Arial"/>
                <w:b/>
                <w:color w:val="000000"/>
              </w:rPr>
            </w:pPr>
            <w:r>
              <w:rPr>
                <w:rFonts w:ascii="Arial" w:eastAsia="Arial" w:hAnsi="Arial" w:cs="Arial"/>
                <w:b/>
                <w:color w:val="000000"/>
              </w:rPr>
              <w:t>Consecutive Failure</w:t>
            </w:r>
          </w:p>
        </w:tc>
        <w:tc>
          <w:tcPr>
            <w:tcW w:w="2268" w:type="dxa"/>
            <w:tcBorders>
              <w:top w:val="single" w:sz="8" w:space="0" w:color="000000"/>
              <w:left w:val="nil"/>
              <w:bottom w:val="single" w:sz="4" w:space="0" w:color="000000"/>
              <w:right w:val="single" w:sz="8" w:space="0" w:color="000000"/>
            </w:tcBorders>
            <w:shd w:val="clear" w:color="auto" w:fill="auto"/>
            <w:vAlign w:val="center"/>
          </w:tcPr>
          <w:p w:rsidR="00077154" w:rsidRDefault="006C135F">
            <w:pPr>
              <w:jc w:val="center"/>
              <w:rPr>
                <w:rFonts w:ascii="Arial" w:eastAsia="Arial" w:hAnsi="Arial" w:cs="Arial"/>
                <w:b/>
                <w:color w:val="000000"/>
              </w:rPr>
            </w:pPr>
            <w:r>
              <w:rPr>
                <w:rFonts w:ascii="Arial" w:eastAsia="Arial" w:hAnsi="Arial" w:cs="Arial"/>
                <w:b/>
                <w:color w:val="000000"/>
              </w:rPr>
              <w:t>Failure over a 12 Month Rolling Period</w:t>
            </w:r>
          </w:p>
        </w:tc>
      </w:tr>
      <w:tr w:rsidR="00077154">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077154" w:rsidRDefault="006C135F">
            <w:pPr>
              <w:rPr>
                <w:rFonts w:ascii="Arial" w:eastAsia="Arial" w:hAnsi="Arial" w:cs="Arial"/>
                <w:color w:val="000000"/>
              </w:rPr>
            </w:pPr>
            <w:r>
              <w:rPr>
                <w:rFonts w:ascii="Arial" w:eastAsia="Arial" w:hAnsi="Arial" w:cs="Arial"/>
                <w:color w:val="000000"/>
              </w:rPr>
              <w:t>Default</w:t>
            </w:r>
          </w:p>
        </w:tc>
        <w:tc>
          <w:tcPr>
            <w:tcW w:w="1843" w:type="dxa"/>
            <w:tcBorders>
              <w:top w:val="nil"/>
              <w:left w:val="nil"/>
              <w:bottom w:val="single" w:sz="4" w:space="0" w:color="000000"/>
              <w:right w:val="single" w:sz="4"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1</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 </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 </w:t>
            </w:r>
          </w:p>
        </w:tc>
      </w:tr>
      <w:tr w:rsidR="00077154">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077154" w:rsidRDefault="006C135F">
            <w:pPr>
              <w:rPr>
                <w:rFonts w:ascii="Arial" w:eastAsia="Arial" w:hAnsi="Arial" w:cs="Arial"/>
                <w:color w:val="000000"/>
              </w:rPr>
            </w:pPr>
            <w:r>
              <w:rPr>
                <w:rFonts w:ascii="Arial" w:eastAsia="Arial" w:hAnsi="Arial" w:cs="Arial"/>
                <w:color w:val="000000"/>
              </w:rPr>
              <w:lastRenderedPageBreak/>
              <w:t>Ratchet 1</w:t>
            </w:r>
          </w:p>
        </w:tc>
        <w:tc>
          <w:tcPr>
            <w:tcW w:w="1843" w:type="dxa"/>
            <w:tcBorders>
              <w:top w:val="nil"/>
              <w:left w:val="nil"/>
              <w:bottom w:val="single" w:sz="4" w:space="0" w:color="000000"/>
              <w:right w:val="single" w:sz="4"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1.5</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2</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3</w:t>
            </w:r>
          </w:p>
        </w:tc>
      </w:tr>
      <w:tr w:rsidR="00077154">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077154" w:rsidRDefault="006C135F">
            <w:pPr>
              <w:rPr>
                <w:rFonts w:ascii="Arial" w:eastAsia="Arial" w:hAnsi="Arial" w:cs="Arial"/>
                <w:color w:val="000000"/>
              </w:rPr>
            </w:pPr>
            <w:r>
              <w:rPr>
                <w:rFonts w:ascii="Arial" w:eastAsia="Arial" w:hAnsi="Arial" w:cs="Arial"/>
                <w:color w:val="000000"/>
              </w:rPr>
              <w:t>Ratchet 2</w:t>
            </w:r>
          </w:p>
        </w:tc>
        <w:tc>
          <w:tcPr>
            <w:tcW w:w="1843" w:type="dxa"/>
            <w:tcBorders>
              <w:top w:val="nil"/>
              <w:left w:val="nil"/>
              <w:bottom w:val="single" w:sz="4" w:space="0" w:color="000000"/>
              <w:right w:val="single" w:sz="4"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1.75</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3</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4,5</w:t>
            </w:r>
          </w:p>
        </w:tc>
      </w:tr>
      <w:tr w:rsidR="00077154">
        <w:trPr>
          <w:trHeight w:val="270"/>
        </w:trPr>
        <w:tc>
          <w:tcPr>
            <w:tcW w:w="1700" w:type="dxa"/>
            <w:tcBorders>
              <w:top w:val="nil"/>
              <w:left w:val="single" w:sz="8" w:space="0" w:color="000000"/>
              <w:bottom w:val="single" w:sz="8" w:space="0" w:color="000000"/>
              <w:right w:val="single" w:sz="4" w:space="0" w:color="000000"/>
            </w:tcBorders>
            <w:shd w:val="clear" w:color="auto" w:fill="auto"/>
            <w:vAlign w:val="center"/>
          </w:tcPr>
          <w:p w:rsidR="00077154" w:rsidRDefault="006C135F">
            <w:pPr>
              <w:rPr>
                <w:rFonts w:ascii="Arial" w:eastAsia="Arial" w:hAnsi="Arial" w:cs="Arial"/>
                <w:color w:val="000000"/>
              </w:rPr>
            </w:pPr>
            <w:r>
              <w:rPr>
                <w:rFonts w:ascii="Arial" w:eastAsia="Arial" w:hAnsi="Arial" w:cs="Arial"/>
                <w:color w:val="000000"/>
              </w:rPr>
              <w:t>Ratchet 3</w:t>
            </w:r>
          </w:p>
        </w:tc>
        <w:tc>
          <w:tcPr>
            <w:tcW w:w="1843" w:type="dxa"/>
            <w:tcBorders>
              <w:top w:val="nil"/>
              <w:left w:val="nil"/>
              <w:bottom w:val="single" w:sz="8" w:space="0" w:color="000000"/>
              <w:right w:val="single" w:sz="4"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2</w:t>
            </w:r>
          </w:p>
        </w:tc>
        <w:tc>
          <w:tcPr>
            <w:tcW w:w="1842" w:type="dxa"/>
            <w:tcBorders>
              <w:top w:val="single" w:sz="4" w:space="0" w:color="000000"/>
              <w:left w:val="nil"/>
              <w:bottom w:val="single" w:sz="8" w:space="0" w:color="000000"/>
              <w:right w:val="single" w:sz="4"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4</w:t>
            </w:r>
          </w:p>
        </w:tc>
        <w:tc>
          <w:tcPr>
            <w:tcW w:w="2268" w:type="dxa"/>
            <w:tcBorders>
              <w:top w:val="single" w:sz="4" w:space="0" w:color="000000"/>
              <w:left w:val="nil"/>
              <w:bottom w:val="single" w:sz="8" w:space="0" w:color="000000"/>
              <w:right w:val="single" w:sz="8" w:space="0" w:color="000000"/>
            </w:tcBorders>
            <w:shd w:val="clear" w:color="auto" w:fill="auto"/>
            <w:vAlign w:val="center"/>
          </w:tcPr>
          <w:p w:rsidR="00077154" w:rsidRDefault="006C135F">
            <w:pPr>
              <w:jc w:val="center"/>
              <w:rPr>
                <w:rFonts w:ascii="Arial" w:eastAsia="Arial" w:hAnsi="Arial" w:cs="Arial"/>
                <w:color w:val="000000"/>
              </w:rPr>
            </w:pPr>
            <w:r>
              <w:rPr>
                <w:rFonts w:ascii="Arial" w:eastAsia="Arial" w:hAnsi="Arial" w:cs="Arial"/>
                <w:color w:val="000000"/>
              </w:rPr>
              <w:t>6,7,8,9,10,11,12</w:t>
            </w:r>
          </w:p>
        </w:tc>
      </w:tr>
    </w:tbl>
    <w:p w:rsidR="00077154" w:rsidRDefault="00077154">
      <w:pPr>
        <w:pBdr>
          <w:top w:val="nil"/>
          <w:left w:val="nil"/>
          <w:bottom w:val="nil"/>
          <w:right w:val="nil"/>
          <w:between w:val="nil"/>
        </w:pBdr>
        <w:tabs>
          <w:tab w:val="left" w:pos="144"/>
        </w:tabs>
        <w:spacing w:after="120" w:line="240" w:lineRule="auto"/>
        <w:ind w:left="2160" w:hanging="720"/>
        <w:jc w:val="both"/>
        <w:rPr>
          <w:rFonts w:ascii="Arial" w:eastAsia="Arial" w:hAnsi="Arial" w:cs="Arial"/>
          <w:b/>
          <w:color w:val="000000"/>
          <w:sz w:val="24"/>
          <w:szCs w:val="24"/>
        </w:rPr>
      </w:pP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more than one Ratchet applies to a KPI Failure in the same Service Period, the Ratchet resulting in the higher KPI Credit will be used.</w:t>
      </w:r>
    </w:p>
    <w:p w:rsidR="00077154" w:rsidRDefault="006C135F">
      <w:pPr>
        <w:numPr>
          <w:ilvl w:val="0"/>
          <w:numId w:val="4"/>
        </w:numPr>
        <w:pBdr>
          <w:top w:val="nil"/>
          <w:left w:val="nil"/>
          <w:bottom w:val="nil"/>
          <w:right w:val="nil"/>
          <w:between w:val="nil"/>
        </w:pBdr>
        <w:spacing w:after="240" w:line="240" w:lineRule="auto"/>
        <w:jc w:val="both"/>
        <w:rPr>
          <w:rFonts w:ascii="Arial" w:eastAsia="Arial" w:hAnsi="Arial" w:cs="Arial"/>
          <w:color w:val="000000"/>
        </w:rPr>
      </w:pPr>
      <w:bookmarkStart w:id="12" w:name="_heading=h.z337ya" w:colFirst="0" w:colLast="0"/>
      <w:bookmarkEnd w:id="12"/>
      <w:r>
        <w:rPr>
          <w:rFonts w:ascii="Arial" w:eastAsia="Arial" w:hAnsi="Arial" w:cs="Arial"/>
          <w:b/>
          <w:color w:val="000000"/>
          <w:sz w:val="24"/>
          <w:szCs w:val="24"/>
        </w:rPr>
        <w:t>KPI Credit Earn Back</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3" w:name="_heading=h.3j2qqm3" w:colFirst="0" w:colLast="0"/>
      <w:bookmarkEnd w:id="13"/>
      <w:r>
        <w:rPr>
          <w:rFonts w:ascii="Arial" w:eastAsia="Arial" w:hAnsi="Arial" w:cs="Arial"/>
          <w:color w:val="000000"/>
          <w:sz w:val="24"/>
          <w:szCs w:val="24"/>
        </w:rPr>
        <w:t>If:</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4" w:name="_heading=h.1y810tw" w:colFirst="0" w:colLast="0"/>
      <w:bookmarkEnd w:id="14"/>
      <w:r>
        <w:rPr>
          <w:rFonts w:ascii="Arial" w:eastAsia="Arial" w:hAnsi="Arial" w:cs="Arial"/>
          <w:color w:val="000000"/>
          <w:sz w:val="24"/>
          <w:szCs w:val="24"/>
        </w:rPr>
        <w:t>in respect of a Service Period the Supplier has been liable to pay (and has paid) a KPI Credit in relation to a KPI Category; and</w:t>
      </w:r>
    </w:p>
    <w:p w:rsidR="00077154" w:rsidRDefault="006C135F">
      <w:pPr>
        <w:numPr>
          <w:ilvl w:val="2"/>
          <w:numId w:val="4"/>
        </w:numPr>
        <w:pBdr>
          <w:top w:val="nil"/>
          <w:left w:val="nil"/>
          <w:bottom w:val="nil"/>
          <w:right w:val="nil"/>
          <w:between w:val="nil"/>
        </w:pBdr>
        <w:tabs>
          <w:tab w:val="left" w:pos="144"/>
          <w:tab w:val="left" w:pos="142"/>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next Service Period, the Supplier is not liable to pay a KPI Credit in relation to the same KPI Category that was the subject of such KPI Credits in the previous Service Period,</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entitled to recover a proportion of such KPI Credit (</w:t>
      </w:r>
      <w:r>
        <w:rPr>
          <w:rFonts w:ascii="Arial" w:eastAsia="Arial" w:hAnsi="Arial" w:cs="Arial"/>
          <w:b/>
          <w:color w:val="000000"/>
          <w:sz w:val="24"/>
          <w:szCs w:val="24"/>
        </w:rPr>
        <w:t xml:space="preserve">"Earn </w:t>
      </w:r>
      <w:r>
        <w:rPr>
          <w:rFonts w:ascii="Arial" w:eastAsia="Arial" w:hAnsi="Arial" w:cs="Arial"/>
          <w:b/>
          <w:sz w:val="24"/>
          <w:szCs w:val="24"/>
        </w:rPr>
        <w:t>B</w:t>
      </w:r>
      <w:r>
        <w:rPr>
          <w:rFonts w:ascii="Arial" w:eastAsia="Arial" w:hAnsi="Arial" w:cs="Arial"/>
          <w:b/>
          <w:color w:val="000000"/>
          <w:sz w:val="24"/>
          <w:szCs w:val="24"/>
        </w:rPr>
        <w:t>ack"</w:t>
      </w:r>
      <w:r>
        <w:rPr>
          <w:rFonts w:ascii="Arial" w:eastAsia="Arial" w:hAnsi="Arial" w:cs="Arial"/>
          <w:color w:val="000000"/>
          <w:sz w:val="24"/>
          <w:szCs w:val="24"/>
        </w:rPr>
        <w:t>).</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 of the Earn </w:t>
      </w:r>
      <w:r>
        <w:rPr>
          <w:rFonts w:ascii="Arial" w:eastAsia="Arial" w:hAnsi="Arial" w:cs="Arial"/>
          <w:sz w:val="24"/>
          <w:szCs w:val="24"/>
        </w:rPr>
        <w:t>B</w:t>
      </w:r>
      <w:r>
        <w:rPr>
          <w:rFonts w:ascii="Arial" w:eastAsia="Arial" w:hAnsi="Arial" w:cs="Arial"/>
          <w:color w:val="000000"/>
          <w:sz w:val="24"/>
          <w:szCs w:val="24"/>
        </w:rPr>
        <w:t xml:space="preserve">ack shall be calculated as the product of the KPI Credit paid in the previous Service Period in relation to the relevant KPI Category and the Earn </w:t>
      </w:r>
      <w:r>
        <w:rPr>
          <w:rFonts w:ascii="Arial" w:eastAsia="Arial" w:hAnsi="Arial" w:cs="Arial"/>
          <w:sz w:val="24"/>
          <w:szCs w:val="24"/>
        </w:rPr>
        <w:t>B</w:t>
      </w:r>
      <w:r>
        <w:rPr>
          <w:rFonts w:ascii="Arial" w:eastAsia="Arial" w:hAnsi="Arial" w:cs="Arial"/>
          <w:color w:val="000000"/>
          <w:sz w:val="24"/>
          <w:szCs w:val="24"/>
        </w:rPr>
        <w:t>ack %.</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recover any Earn </w:t>
      </w:r>
      <w:r>
        <w:rPr>
          <w:rFonts w:ascii="Arial" w:eastAsia="Arial" w:hAnsi="Arial" w:cs="Arial"/>
          <w:sz w:val="24"/>
          <w:szCs w:val="24"/>
        </w:rPr>
        <w:t>B</w:t>
      </w:r>
      <w:r>
        <w:rPr>
          <w:rFonts w:ascii="Arial" w:eastAsia="Arial" w:hAnsi="Arial" w:cs="Arial"/>
          <w:color w:val="000000"/>
          <w:sz w:val="24"/>
          <w:szCs w:val="24"/>
        </w:rPr>
        <w:t>ack to which it is entitled under this Paragraph 5 in accordance with Call-Off Schedule 5 (Call-Off Pricing).</w:t>
      </w:r>
    </w:p>
    <w:p w:rsidR="00077154" w:rsidRDefault="006C135F">
      <w:pPr>
        <w:numPr>
          <w:ilvl w:val="0"/>
          <w:numId w:val="4"/>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b/>
          <w:color w:val="000000"/>
          <w:sz w:val="24"/>
          <w:szCs w:val="24"/>
        </w:rPr>
        <w:t>Persistent KPI Failure</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arise when one or both of the following takes place:</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5" w:name="_heading=h.3znysh7" w:colFirst="0" w:colLast="0"/>
      <w:bookmarkEnd w:id="15"/>
      <w:r>
        <w:rPr>
          <w:rFonts w:ascii="Arial" w:eastAsia="Arial" w:hAnsi="Arial" w:cs="Arial"/>
          <w:color w:val="000000"/>
          <w:sz w:val="24"/>
          <w:szCs w:val="24"/>
        </w:rPr>
        <w:t>a KPI Failure in respect of any one or more of the KPIs comprised in the same KPI Category occurs in five (5) consecutive Service Periods;</w:t>
      </w:r>
    </w:p>
    <w:p w:rsidR="00077154" w:rsidRDefault="006C135F">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KPI Failure in respect of any one or more of the KPIs comprised in the same KPI Category occurs in any seven (7) Service Periods in the immediately preceding twelve (12) Service Periods.</w:t>
      </w:r>
    </w:p>
    <w:p w:rsidR="00077154" w:rsidRDefault="006C135F">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constitute a material Default of this Contract by the Supplier.</w:t>
      </w:r>
    </w:p>
    <w:p w:rsidR="00077154" w:rsidRDefault="00077154">
      <w:pPr>
        <w:pBdr>
          <w:top w:val="nil"/>
          <w:left w:val="nil"/>
          <w:bottom w:val="nil"/>
          <w:right w:val="nil"/>
          <w:between w:val="nil"/>
        </w:pBdr>
        <w:spacing w:before="120" w:after="120" w:line="240" w:lineRule="auto"/>
        <w:rPr>
          <w:rFonts w:ascii="Arial" w:eastAsia="Arial" w:hAnsi="Arial" w:cs="Arial"/>
          <w:b/>
          <w:color w:val="000000"/>
          <w:sz w:val="36"/>
          <w:szCs w:val="36"/>
        </w:rPr>
      </w:pPr>
    </w:p>
    <w:p w:rsidR="00077154" w:rsidRDefault="00077154">
      <w:pPr>
        <w:pBdr>
          <w:top w:val="nil"/>
          <w:left w:val="nil"/>
          <w:bottom w:val="nil"/>
          <w:right w:val="nil"/>
          <w:between w:val="nil"/>
        </w:pBdr>
        <w:spacing w:before="120" w:after="120" w:line="240" w:lineRule="auto"/>
        <w:rPr>
          <w:rFonts w:ascii="Arial" w:eastAsia="Arial" w:hAnsi="Arial" w:cs="Arial"/>
          <w:b/>
          <w:color w:val="000000"/>
          <w:sz w:val="36"/>
          <w:szCs w:val="36"/>
        </w:rPr>
      </w:pPr>
    </w:p>
    <w:p w:rsidR="00077154" w:rsidRDefault="00077154">
      <w:pPr>
        <w:pBdr>
          <w:top w:val="nil"/>
          <w:left w:val="nil"/>
          <w:bottom w:val="nil"/>
          <w:right w:val="nil"/>
          <w:between w:val="nil"/>
        </w:pBdr>
        <w:spacing w:before="120" w:after="120" w:line="240" w:lineRule="auto"/>
        <w:rPr>
          <w:rFonts w:ascii="Arial" w:eastAsia="Arial" w:hAnsi="Arial" w:cs="Arial"/>
          <w:b/>
          <w:color w:val="000000"/>
          <w:sz w:val="36"/>
          <w:szCs w:val="36"/>
        </w:rPr>
      </w:pPr>
    </w:p>
    <w:p w:rsidR="00077154" w:rsidRDefault="00077154">
      <w:pPr>
        <w:pBdr>
          <w:top w:val="nil"/>
          <w:left w:val="nil"/>
          <w:bottom w:val="nil"/>
          <w:right w:val="nil"/>
          <w:between w:val="nil"/>
        </w:pBdr>
        <w:spacing w:before="120" w:after="120" w:line="240" w:lineRule="auto"/>
        <w:rPr>
          <w:rFonts w:ascii="Arial" w:eastAsia="Arial" w:hAnsi="Arial" w:cs="Arial"/>
          <w:b/>
          <w:color w:val="000000"/>
          <w:sz w:val="36"/>
          <w:szCs w:val="36"/>
        </w:rPr>
      </w:pPr>
      <w:bookmarkStart w:id="16" w:name="_heading=h.tyjcwt" w:colFirst="0" w:colLast="0"/>
      <w:bookmarkEnd w:id="16"/>
    </w:p>
    <w:p w:rsidR="00077154" w:rsidRDefault="006C135F">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lastRenderedPageBreak/>
        <w:t>Annex A to Part A – KPI_Paymech Model</w:t>
      </w:r>
    </w:p>
    <w:p w:rsidR="00077154" w:rsidRDefault="006C135F">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rPr>
        <w:t xml:space="preserve">     </w:t>
      </w:r>
    </w:p>
    <w:p w:rsidR="00077154" w:rsidRDefault="00077154">
      <w:pPr>
        <w:pBdr>
          <w:top w:val="nil"/>
          <w:left w:val="nil"/>
          <w:bottom w:val="nil"/>
          <w:right w:val="nil"/>
          <w:between w:val="nil"/>
        </w:pBdr>
        <w:spacing w:before="120" w:after="120" w:line="240" w:lineRule="auto"/>
        <w:rPr>
          <w:rFonts w:ascii="Arial" w:eastAsia="Arial" w:hAnsi="Arial" w:cs="Arial"/>
        </w:rPr>
      </w:pPr>
      <w:bookmarkStart w:id="17" w:name="_heading=h.3dy6vkm" w:colFirst="0" w:colLast="0"/>
      <w:bookmarkEnd w:id="17"/>
    </w:p>
    <w:p w:rsidR="00077154" w:rsidRDefault="006C135F">
      <w:pPr>
        <w:pBdr>
          <w:top w:val="nil"/>
          <w:left w:val="nil"/>
          <w:bottom w:val="nil"/>
          <w:right w:val="nil"/>
          <w:between w:val="nil"/>
        </w:pBdr>
        <w:spacing w:before="120" w:after="120" w:line="240" w:lineRule="auto"/>
        <w:rPr>
          <w:rFonts w:ascii="Arial" w:eastAsia="Arial" w:hAnsi="Arial" w:cs="Arial"/>
        </w:rPr>
      </w:pPr>
      <w:bookmarkStart w:id="18" w:name="_heading=h.4d34og8" w:colFirst="0" w:colLast="0"/>
      <w:bookmarkEnd w:id="18"/>
      <w:r>
        <w:rPr>
          <w:rFonts w:ascii="Arial" w:eastAsia="Arial" w:hAnsi="Arial" w:cs="Arial"/>
        </w:rPr>
        <w:t xml:space="preserve">     </w:t>
      </w:r>
      <w:r>
        <w:rPr>
          <w:rFonts w:ascii="Arial" w:eastAsia="Arial" w:hAnsi="Arial" w:cs="Arial"/>
        </w:rPr>
        <w:object w:dxaOrig="1512"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8" o:title=""/>
          </v:shape>
          <o:OLEObject Type="Embed" ProgID="Excel.Sheet.12" ShapeID="_x0000_i1025" DrawAspect="Icon" ObjectID="_1700022249" r:id="rId9"/>
        </w:object>
      </w:r>
    </w:p>
    <w:p w:rsidR="00077154" w:rsidRDefault="00077154">
      <w:pPr>
        <w:pBdr>
          <w:top w:val="nil"/>
          <w:left w:val="nil"/>
          <w:bottom w:val="nil"/>
          <w:right w:val="nil"/>
          <w:between w:val="nil"/>
        </w:pBdr>
        <w:spacing w:before="120" w:after="120" w:line="240" w:lineRule="auto"/>
        <w:rPr>
          <w:rFonts w:ascii="Arial" w:eastAsia="Arial" w:hAnsi="Arial" w:cs="Arial"/>
        </w:rPr>
      </w:pPr>
    </w:p>
    <w:p w:rsidR="00077154" w:rsidRDefault="00077154">
      <w:pPr>
        <w:pBdr>
          <w:top w:val="nil"/>
          <w:left w:val="nil"/>
          <w:bottom w:val="nil"/>
          <w:right w:val="nil"/>
          <w:between w:val="nil"/>
        </w:pBdr>
        <w:spacing w:before="120" w:after="120" w:line="240" w:lineRule="auto"/>
        <w:rPr>
          <w:rFonts w:ascii="Arial" w:eastAsia="Arial" w:hAnsi="Arial" w:cs="Arial"/>
        </w:rPr>
      </w:pPr>
    </w:p>
    <w:p w:rsidR="00077154" w:rsidRDefault="00077154">
      <w:pPr>
        <w:pBdr>
          <w:top w:val="nil"/>
          <w:left w:val="nil"/>
          <w:bottom w:val="nil"/>
          <w:right w:val="nil"/>
          <w:between w:val="nil"/>
        </w:pBdr>
        <w:spacing w:before="120" w:after="120" w:line="240" w:lineRule="auto"/>
        <w:rPr>
          <w:rFonts w:ascii="Arial" w:eastAsia="Arial" w:hAnsi="Arial" w:cs="Arial"/>
        </w:rPr>
      </w:pPr>
    </w:p>
    <w:p w:rsidR="00077154" w:rsidRDefault="00077154">
      <w:pPr>
        <w:pBdr>
          <w:top w:val="nil"/>
          <w:left w:val="nil"/>
          <w:bottom w:val="nil"/>
          <w:right w:val="nil"/>
          <w:between w:val="nil"/>
        </w:pBdr>
        <w:spacing w:before="120" w:after="120" w:line="240" w:lineRule="auto"/>
        <w:rPr>
          <w:rFonts w:ascii="Arial" w:eastAsia="Arial" w:hAnsi="Arial" w:cs="Arial"/>
        </w:rPr>
      </w:pPr>
    </w:p>
    <w:p w:rsidR="00077154" w:rsidRDefault="00077154">
      <w:pPr>
        <w:pBdr>
          <w:top w:val="nil"/>
          <w:left w:val="nil"/>
          <w:bottom w:val="nil"/>
          <w:right w:val="nil"/>
          <w:between w:val="nil"/>
        </w:pBdr>
        <w:spacing w:before="120" w:after="120" w:line="240" w:lineRule="auto"/>
        <w:rPr>
          <w:rFonts w:ascii="Arial" w:eastAsia="Arial" w:hAnsi="Arial" w:cs="Arial"/>
        </w:rPr>
      </w:pPr>
    </w:p>
    <w:p w:rsidR="00077154" w:rsidRDefault="00077154">
      <w:pPr>
        <w:pBdr>
          <w:top w:val="nil"/>
          <w:left w:val="nil"/>
          <w:bottom w:val="nil"/>
          <w:right w:val="nil"/>
          <w:between w:val="nil"/>
        </w:pBdr>
        <w:spacing w:before="120" w:after="120" w:line="240" w:lineRule="auto"/>
        <w:rPr>
          <w:rFonts w:ascii="Arial" w:eastAsia="Arial" w:hAnsi="Arial" w:cs="Arial"/>
        </w:rPr>
      </w:pPr>
    </w:p>
    <w:p w:rsidR="00077154" w:rsidRDefault="00077154">
      <w:pPr>
        <w:pBdr>
          <w:top w:val="nil"/>
          <w:left w:val="nil"/>
          <w:bottom w:val="nil"/>
          <w:right w:val="nil"/>
          <w:between w:val="nil"/>
        </w:pBdr>
        <w:spacing w:before="120" w:after="120" w:line="240" w:lineRule="auto"/>
        <w:rPr>
          <w:rFonts w:ascii="Arial" w:eastAsia="Arial" w:hAnsi="Arial" w:cs="Arial"/>
        </w:rPr>
      </w:pPr>
    </w:p>
    <w:p w:rsidR="00077154" w:rsidRDefault="00077154">
      <w:pPr>
        <w:pBdr>
          <w:top w:val="nil"/>
          <w:left w:val="nil"/>
          <w:bottom w:val="nil"/>
          <w:right w:val="nil"/>
          <w:between w:val="nil"/>
        </w:pBdr>
        <w:spacing w:before="120" w:after="120" w:line="240" w:lineRule="auto"/>
        <w:rPr>
          <w:rFonts w:ascii="Arial" w:eastAsia="Arial" w:hAnsi="Arial" w:cs="Arial"/>
        </w:rPr>
      </w:pPr>
    </w:p>
    <w:p w:rsidR="00077154" w:rsidRDefault="00077154">
      <w:pPr>
        <w:pBdr>
          <w:top w:val="nil"/>
          <w:left w:val="nil"/>
          <w:bottom w:val="nil"/>
          <w:right w:val="nil"/>
          <w:between w:val="nil"/>
        </w:pBdr>
        <w:spacing w:before="120" w:after="120" w:line="240" w:lineRule="auto"/>
        <w:rPr>
          <w:rFonts w:ascii="Arial" w:eastAsia="Arial" w:hAnsi="Arial" w:cs="Arial"/>
        </w:rPr>
      </w:pPr>
    </w:p>
    <w:p w:rsidR="00077154" w:rsidRDefault="00077154">
      <w:pPr>
        <w:pBdr>
          <w:top w:val="nil"/>
          <w:left w:val="nil"/>
          <w:bottom w:val="nil"/>
          <w:right w:val="nil"/>
          <w:between w:val="nil"/>
        </w:pBdr>
        <w:spacing w:before="120" w:after="120" w:line="240" w:lineRule="auto"/>
        <w:rPr>
          <w:rFonts w:ascii="Arial" w:eastAsia="Arial" w:hAnsi="Arial" w:cs="Arial"/>
        </w:rPr>
      </w:pPr>
    </w:p>
    <w:p w:rsidR="00077154" w:rsidRDefault="00077154">
      <w:pPr>
        <w:pBdr>
          <w:top w:val="nil"/>
          <w:left w:val="nil"/>
          <w:bottom w:val="nil"/>
          <w:right w:val="nil"/>
          <w:between w:val="nil"/>
        </w:pBdr>
        <w:spacing w:before="120" w:after="120" w:line="240" w:lineRule="auto"/>
        <w:rPr>
          <w:rFonts w:ascii="Arial" w:eastAsia="Arial" w:hAnsi="Arial" w:cs="Arial"/>
        </w:rPr>
      </w:pPr>
    </w:p>
    <w:p w:rsidR="00077154" w:rsidRDefault="006C135F">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 xml:space="preserve">Part B: Performance Monitoring </w:t>
      </w:r>
    </w:p>
    <w:p w:rsidR="00077154" w:rsidRDefault="006C135F">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Performance Monitoring and Performance Review</w:t>
      </w:r>
    </w:p>
    <w:p w:rsidR="00077154" w:rsidRDefault="006C135F">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KPIs will operate between the Parties and the Parties will endeavour to agree such process as soon as reasonably possible.</w:t>
      </w:r>
    </w:p>
    <w:p w:rsidR="00077154" w:rsidRDefault="006C135F">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in the same format as that in the KPI Paymech Model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w:t>
      </w:r>
      <w:r>
        <w:rPr>
          <w:rFonts w:ascii="Arial" w:eastAsia="Arial" w:hAnsi="Arial" w:cs="Arial"/>
          <w:sz w:val="24"/>
          <w:szCs w:val="24"/>
        </w:rPr>
        <w:t>1</w:t>
      </w:r>
      <w:r>
        <w:rPr>
          <w:rFonts w:ascii="Arial" w:eastAsia="Arial" w:hAnsi="Arial" w:cs="Arial"/>
          <w:color w:val="000000"/>
          <w:sz w:val="24"/>
          <w:szCs w:val="24"/>
        </w:rPr>
        <w:t>.1 of Part B of this Schedule which shall contain, as a minimum, the following information in respect of the relevant Service Period just ended:</w:t>
      </w:r>
    </w:p>
    <w:p w:rsidR="00077154" w:rsidRDefault="006C135F">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KPI, the actual performance achieved over the KPI for the relevant Service Period;</w:t>
      </w:r>
    </w:p>
    <w:p w:rsidR="00077154" w:rsidRDefault="006C135F">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KPIs that occurred during that Service Period;</w:t>
      </w:r>
    </w:p>
    <w:p w:rsidR="00077154" w:rsidRDefault="006C135F">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Persistent KPI Failures;</w:t>
      </w:r>
    </w:p>
    <w:p w:rsidR="00077154" w:rsidRDefault="006C135F">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Persistent failures, actions taken to resolve the underlying cause and prevent recurrence;</w:t>
      </w:r>
    </w:p>
    <w:p w:rsidR="00077154" w:rsidRDefault="006C135F">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KPI Credits to be applied in respect of the relevant Service Period indicating the KPI Failures and KPIs to which the KPI Credits relate; and</w:t>
      </w:r>
    </w:p>
    <w:p w:rsidR="00077154" w:rsidRDefault="006C135F">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077154" w:rsidRDefault="006C135F">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077154" w:rsidRDefault="006C135F">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077154" w:rsidRDefault="006C135F">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077154" w:rsidRDefault="006C135F">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077154" w:rsidRDefault="006C135F">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rsidR="00077154" w:rsidRDefault="006C135F">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KPI Credits for any specified Service Period.</w:t>
      </w:r>
    </w:p>
    <w:p w:rsidR="00077154" w:rsidRDefault="00077154">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077154" w:rsidRDefault="006C135F">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Satisfaction Surveys</w:t>
      </w:r>
    </w:p>
    <w:p w:rsidR="00077154" w:rsidRDefault="006C135F">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sz w:val="24"/>
          <w:szCs w:val="24"/>
        </w:rPr>
        <w:t>s</w:t>
      </w:r>
      <w:r>
        <w:rPr>
          <w:rFonts w:ascii="Arial" w:eastAsia="Arial" w:hAnsi="Arial" w:cs="Arial"/>
          <w:color w:val="000000"/>
          <w:sz w:val="24"/>
          <w:szCs w:val="24"/>
        </w:rPr>
        <w:t xml:space="preserve">atisfaction </w:t>
      </w:r>
      <w:r>
        <w:rPr>
          <w:rFonts w:ascii="Arial" w:eastAsia="Arial" w:hAnsi="Arial" w:cs="Arial"/>
          <w:sz w:val="24"/>
          <w:szCs w:val="24"/>
        </w:rPr>
        <w:t>s</w:t>
      </w:r>
      <w:r>
        <w:rPr>
          <w:rFonts w:ascii="Arial" w:eastAsia="Arial" w:hAnsi="Arial" w:cs="Arial"/>
          <w:color w:val="000000"/>
          <w:sz w:val="24"/>
          <w:szCs w:val="24"/>
        </w:rPr>
        <w:t>urveys reasonably suggest are not in accordance with this Contract.</w:t>
      </w:r>
    </w:p>
    <w:p w:rsidR="00077154" w:rsidRDefault="00077154">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19" w:name="_heading=h.30j0zll" w:colFirst="0" w:colLast="0"/>
      <w:bookmarkEnd w:id="19"/>
    </w:p>
    <w:sectPr w:rsidR="0007715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603" w:rsidRDefault="00930603">
      <w:pPr>
        <w:spacing w:after="0" w:line="240" w:lineRule="auto"/>
      </w:pPr>
      <w:r>
        <w:separator/>
      </w:r>
    </w:p>
  </w:endnote>
  <w:endnote w:type="continuationSeparator" w:id="0">
    <w:p w:rsidR="00930603" w:rsidRDefault="00930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C1B" w:rsidRDefault="003B3C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154" w:rsidRDefault="00077154">
    <w:pPr>
      <w:tabs>
        <w:tab w:val="center" w:pos="4513"/>
        <w:tab w:val="right" w:pos="9026"/>
      </w:tabs>
      <w:spacing w:after="0" w:line="240" w:lineRule="auto"/>
      <w:jc w:val="both"/>
    </w:pPr>
  </w:p>
  <w:p w:rsidR="00077154" w:rsidRDefault="006C13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RM6232</w:t>
    </w:r>
    <w:r>
      <w:t xml:space="preserve">     </w:t>
    </w:r>
  </w:p>
  <w:p w:rsidR="00077154" w:rsidRDefault="006C13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3B3C1B">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D3768">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077154" w:rsidRDefault="006C13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154" w:rsidRDefault="00077154">
    <w:pPr>
      <w:tabs>
        <w:tab w:val="center" w:pos="4513"/>
        <w:tab w:val="right" w:pos="9026"/>
      </w:tabs>
      <w:spacing w:after="0" w:line="240" w:lineRule="auto"/>
      <w:jc w:val="both"/>
    </w:pPr>
  </w:p>
  <w:p w:rsidR="00077154" w:rsidRDefault="006C13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077154" w:rsidRDefault="006C13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077154" w:rsidRDefault="006C135F">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603" w:rsidRDefault="00930603">
      <w:pPr>
        <w:spacing w:after="0" w:line="240" w:lineRule="auto"/>
      </w:pPr>
      <w:r>
        <w:separator/>
      </w:r>
    </w:p>
  </w:footnote>
  <w:footnote w:type="continuationSeparator" w:id="0">
    <w:p w:rsidR="00930603" w:rsidRDefault="00930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C1B" w:rsidRDefault="003B3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154" w:rsidRDefault="006C13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w:t>
    </w:r>
    <w:r>
      <w:rPr>
        <w:rFonts w:ascii="Arial" w:eastAsia="Arial" w:hAnsi="Arial" w:cs="Arial"/>
        <w:b/>
        <w:sz w:val="20"/>
        <w:szCs w:val="20"/>
      </w:rPr>
      <w:t>Key Performance Indicators</w:t>
    </w:r>
    <w:r>
      <w:rPr>
        <w:rFonts w:ascii="Arial" w:eastAsia="Arial" w:hAnsi="Arial" w:cs="Arial"/>
        <w:b/>
        <w:color w:val="000000"/>
        <w:sz w:val="20"/>
        <w:szCs w:val="20"/>
      </w:rPr>
      <w:t>)</w:t>
    </w:r>
  </w:p>
  <w:p w:rsidR="00077154" w:rsidRDefault="006C13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077154" w:rsidRDefault="006C13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rsidR="00077154" w:rsidRDefault="00077154">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C1B" w:rsidRDefault="003B3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727E8"/>
    <w:multiLevelType w:val="multilevel"/>
    <w:tmpl w:val="32ECD4C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8135389"/>
    <w:multiLevelType w:val="multilevel"/>
    <w:tmpl w:val="F2345C26"/>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C683F43"/>
    <w:multiLevelType w:val="multilevel"/>
    <w:tmpl w:val="75A8252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6877479"/>
    <w:multiLevelType w:val="multilevel"/>
    <w:tmpl w:val="376CA4F8"/>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D720629"/>
    <w:multiLevelType w:val="multilevel"/>
    <w:tmpl w:val="F7A62F44"/>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154"/>
    <w:rsid w:val="00077154"/>
    <w:rsid w:val="00191342"/>
    <w:rsid w:val="001D3768"/>
    <w:rsid w:val="002C2B1F"/>
    <w:rsid w:val="003B3C1B"/>
    <w:rsid w:val="006C135F"/>
    <w:rsid w:val="00930603"/>
    <w:rsid w:val="00A73267"/>
    <w:rsid w:val="00C14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216C95-CCB5-4E6F-927A-14F6F51F3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993600"/>
    <w:pPr>
      <w:spacing w:before="100" w:beforeAutospacing="1" w:after="100" w:afterAutospacing="1" w:line="240" w:lineRule="auto"/>
    </w:pPr>
    <w:rPr>
      <w:rFonts w:ascii="Times New Roman" w:eastAsia="Times New Roman" w:hAnsi="Times New Roman"/>
      <w:sz w:val="24"/>
      <w:szCs w:val="24"/>
    </w:r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W7a1ioPHXbCCpGKm/l6+18AohQ==">AMUW2mU8gVWa2DT2KJymOkt8BBka7d5RBxzzEPmpM5+QoZN6T/Pqwfyl8F1lR6HerE+j8AQTs9wrl5TQaedjpsc5DZfGirN6cMRWDpPTrFpAViQcT3ZkCkWOLZ8ZGj0ooYimpM5JLmwjeFiJpIykufSIUiL2U6BTeMnGDy5bif29JeQI0UOx2S5VuBsPaZLeSECkIoMJb5IMO/dHT+SynoCzrwUhZ0Glmf4eY9hi8c4FSe2iPbQFP3IXQYvr9pCmq9ByL3XaUvTNOQBY4uTBhILD7J3Bjb1Wf4byTjLbx51g6DfMfVlhm+V2pdvZfOW/6CuifjgEn2nxW2J2x4nXA6vlyrS8RGfoBoOc35aCO7HG25u89pHujwI1neoayXX2uXS+sxpUoup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Becky Leftwich</cp:lastModifiedBy>
  <cp:revision>2</cp:revision>
  <dcterms:created xsi:type="dcterms:W3CDTF">2021-12-03T07:37:00Z</dcterms:created>
  <dcterms:modified xsi:type="dcterms:W3CDTF">2021-12-03T07:37:00Z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